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B9" w:rsidRPr="00AE79D6" w:rsidRDefault="00BC15B9" w:rsidP="00BC15B9">
      <w:pPr>
        <w:jc w:val="center"/>
        <w:rPr>
          <w:rFonts w:ascii="Bookman Old Style" w:hAnsi="Bookman Old Style"/>
          <w:b/>
          <w:sz w:val="28"/>
          <w:szCs w:val="28"/>
        </w:rPr>
      </w:pPr>
      <w:r w:rsidRPr="00AE79D6">
        <w:rPr>
          <w:rFonts w:ascii="Bookman Old Style" w:hAnsi="Bookman Old Style"/>
          <w:b/>
          <w:sz w:val="28"/>
          <w:szCs w:val="28"/>
        </w:rPr>
        <w:t>Základní škola</w:t>
      </w:r>
      <w:r w:rsidR="00CE10D0">
        <w:rPr>
          <w:rFonts w:ascii="Bookman Old Style" w:hAnsi="Bookman Old Style"/>
          <w:b/>
          <w:sz w:val="28"/>
          <w:szCs w:val="28"/>
        </w:rPr>
        <w:t xml:space="preserve"> a Mateřská škola</w:t>
      </w:r>
      <w:r>
        <w:rPr>
          <w:rFonts w:ascii="Bookman Old Style" w:hAnsi="Bookman Old Style"/>
          <w:b/>
          <w:sz w:val="28"/>
          <w:szCs w:val="28"/>
        </w:rPr>
        <w:t>,</w:t>
      </w:r>
      <w:r w:rsidR="00CE10D0">
        <w:rPr>
          <w:rFonts w:ascii="Bookman Old Style" w:hAnsi="Bookman Old Style"/>
          <w:b/>
          <w:sz w:val="28"/>
          <w:szCs w:val="28"/>
        </w:rPr>
        <w:t xml:space="preserve"> Vysoké Veselí, okres Jičín</w:t>
      </w:r>
      <w:r>
        <w:rPr>
          <w:rFonts w:ascii="Bookman Old Style" w:hAnsi="Bookman Old Style"/>
          <w:b/>
          <w:sz w:val="28"/>
          <w:szCs w:val="28"/>
        </w:rPr>
        <w:t xml:space="preserve"> </w:t>
      </w:r>
    </w:p>
    <w:p w:rsidR="00BC15B9" w:rsidRDefault="00BC15B9" w:rsidP="00BC15B9">
      <w:pPr>
        <w:rPr>
          <w:rFonts w:ascii="Bookman Old Style" w:hAnsi="Bookman Old Style"/>
          <w:sz w:val="28"/>
          <w:szCs w:val="28"/>
        </w:rPr>
      </w:pPr>
      <w:r>
        <w:rPr>
          <w:rFonts w:ascii="Bookman Old Style" w:hAnsi="Bookman Old Style"/>
          <w:sz w:val="28"/>
          <w:szCs w:val="28"/>
        </w:rPr>
        <w:t xml:space="preserve">                         </w:t>
      </w:r>
      <w:r w:rsidR="00CE10D0">
        <w:rPr>
          <w:rFonts w:ascii="Bookman Old Style" w:hAnsi="Bookman Old Style"/>
          <w:sz w:val="28"/>
          <w:szCs w:val="28"/>
        </w:rPr>
        <w:t>K. H. Borovského 99, 507 03 Vysoké Veselí</w:t>
      </w:r>
    </w:p>
    <w:p w:rsidR="00BC15B9" w:rsidRDefault="00BC15B9" w:rsidP="00BC15B9">
      <w:pPr>
        <w:jc w:val="center"/>
        <w:rPr>
          <w:rFonts w:ascii="Bookman Old Style" w:hAnsi="Bookman Old Style"/>
          <w:sz w:val="28"/>
          <w:szCs w:val="28"/>
        </w:rPr>
      </w:pPr>
      <w:r>
        <w:rPr>
          <w:rFonts w:ascii="Bookman Old Style" w:hAnsi="Bookman Old Style"/>
          <w:sz w:val="28"/>
          <w:szCs w:val="28"/>
        </w:rPr>
        <w:t xml:space="preserve">Tel. </w:t>
      </w:r>
      <w:r w:rsidR="00CE10D0">
        <w:rPr>
          <w:rFonts w:ascii="Bookman Old Style" w:hAnsi="Bookman Old Style"/>
          <w:sz w:val="28"/>
          <w:szCs w:val="28"/>
        </w:rPr>
        <w:t>493592163,778051783</w:t>
      </w:r>
      <w:r>
        <w:rPr>
          <w:rFonts w:ascii="Bookman Old Style" w:hAnsi="Bookman Old Style"/>
          <w:sz w:val="28"/>
          <w:szCs w:val="28"/>
        </w:rPr>
        <w:t xml:space="preserve">, </w:t>
      </w:r>
      <w:hyperlink r:id="rId7" w:history="1">
        <w:r w:rsidR="00CE10D0" w:rsidRPr="00267604">
          <w:rPr>
            <w:rStyle w:val="Hypertextovodkaz"/>
          </w:rPr>
          <w:t>www.skola.vysokeveseli.cz</w:t>
        </w:r>
      </w:hyperlink>
      <w:r w:rsidR="00CE10D0">
        <w:t xml:space="preserve"> </w:t>
      </w:r>
    </w:p>
    <w:p w:rsidR="00BC15B9" w:rsidRPr="0082537B" w:rsidRDefault="00BC15B9" w:rsidP="00BC15B9">
      <w:pPr>
        <w:pStyle w:val="Normlnweb"/>
        <w:spacing w:before="0" w:beforeAutospacing="0" w:after="0" w:afterAutospacing="0" w:line="276" w:lineRule="auto"/>
        <w:jc w:val="center"/>
        <w:rPr>
          <w:rFonts w:ascii="Bookman Old Style" w:hAnsi="Bookman Old Style"/>
        </w:rPr>
      </w:pPr>
    </w:p>
    <w:p w:rsidR="007E2BE5" w:rsidRDefault="007E2BE5" w:rsidP="005D0B96">
      <w:pPr>
        <w:rPr>
          <w:b/>
          <w:sz w:val="44"/>
          <w:u w:val="single"/>
        </w:rPr>
      </w:pPr>
    </w:p>
    <w:p w:rsidR="00C365A7" w:rsidRDefault="005D0B96" w:rsidP="00731772">
      <w:pPr>
        <w:jc w:val="center"/>
        <w:rPr>
          <w:b/>
          <w:sz w:val="44"/>
          <w:u w:val="single"/>
        </w:rPr>
      </w:pPr>
      <w:r>
        <w:rPr>
          <w:b/>
          <w:sz w:val="44"/>
          <w:u w:val="single"/>
        </w:rPr>
        <w:t>Informace k přijímacím zkouškám</w:t>
      </w:r>
    </w:p>
    <w:p w:rsidR="00731772" w:rsidRPr="00731772" w:rsidRDefault="00731772" w:rsidP="00731772">
      <w:pPr>
        <w:jc w:val="center"/>
        <w:rPr>
          <w:b/>
          <w:sz w:val="44"/>
          <w:u w:val="single"/>
        </w:rPr>
      </w:pPr>
    </w:p>
    <w:p w:rsidR="00731772" w:rsidRPr="00731772" w:rsidRDefault="00731772" w:rsidP="00731772">
      <w:pPr>
        <w:jc w:val="center"/>
        <w:rPr>
          <w:b/>
          <w:sz w:val="36"/>
          <w:szCs w:val="36"/>
          <w:u w:val="single"/>
        </w:rPr>
      </w:pPr>
    </w:p>
    <w:p w:rsidR="005D0B96" w:rsidRDefault="005D0B96" w:rsidP="005D0B96">
      <w:pPr>
        <w:jc w:val="both"/>
        <w:rPr>
          <w:sz w:val="28"/>
        </w:rPr>
      </w:pPr>
      <w:r w:rsidRPr="005D0B96">
        <w:rPr>
          <w:sz w:val="28"/>
        </w:rPr>
        <w:t>V souvislosti s řešením mimořádné situace vzniklé v důsledku přijímání krizových opatření Vládou České republiky,</w:t>
      </w:r>
      <w:r>
        <w:rPr>
          <w:sz w:val="28"/>
        </w:rPr>
        <w:t xml:space="preserve"> </w:t>
      </w:r>
      <w:r w:rsidRPr="005D0B96">
        <w:rPr>
          <w:sz w:val="28"/>
        </w:rPr>
        <w:t>připravilo Ministerstvo školství, mládeže a tělovýchovy (dále jen „ministerstvo“ nebo „MŠMT“) zákon o zvláštních pravidlech pro přijímání k některým druhům vzdělávání a k jejich ukončování ve školním roce 2019/2020</w:t>
      </w:r>
      <w:r>
        <w:rPr>
          <w:sz w:val="28"/>
        </w:rPr>
        <w:t xml:space="preserve">. </w:t>
      </w:r>
    </w:p>
    <w:p w:rsidR="00731772" w:rsidRPr="005D0B96" w:rsidRDefault="005D0B96" w:rsidP="005D0B96">
      <w:pPr>
        <w:rPr>
          <w:sz w:val="28"/>
        </w:rPr>
      </w:pPr>
      <w:r>
        <w:rPr>
          <w:sz w:val="28"/>
        </w:rPr>
        <w:t>Úplné z</w:t>
      </w:r>
      <w:r w:rsidRPr="005D0B96">
        <w:rPr>
          <w:sz w:val="28"/>
        </w:rPr>
        <w:t xml:space="preserve">nění zákona naleznete na stránkách MŠMT zde: </w:t>
      </w:r>
      <w:hyperlink r:id="rId8" w:history="1">
        <w:r w:rsidRPr="005D0B96">
          <w:rPr>
            <w:rStyle w:val="Hypertextovodkaz"/>
            <w:sz w:val="28"/>
          </w:rPr>
          <w:t>http://www.msmt.cz/dokumenty-3/zakon-o-zvlastnich-pravidlech-pro-prijimani-k-nekterym</w:t>
        </w:r>
      </w:hyperlink>
    </w:p>
    <w:p w:rsidR="00731772" w:rsidRDefault="00731772" w:rsidP="00731772">
      <w:pPr>
        <w:rPr>
          <w:sz w:val="36"/>
          <w:szCs w:val="36"/>
        </w:rPr>
      </w:pPr>
    </w:p>
    <w:p w:rsidR="005D0B96" w:rsidRDefault="005D0B96" w:rsidP="00731772">
      <w:pPr>
        <w:rPr>
          <w:sz w:val="28"/>
          <w:szCs w:val="28"/>
        </w:rPr>
      </w:pPr>
      <w:r>
        <w:rPr>
          <w:sz w:val="28"/>
          <w:szCs w:val="28"/>
        </w:rPr>
        <w:t xml:space="preserve">Základní informace </w:t>
      </w:r>
      <w:r w:rsidR="00FC46D8">
        <w:rPr>
          <w:sz w:val="28"/>
          <w:szCs w:val="28"/>
        </w:rPr>
        <w:t>k přijímacím zkouškám:</w:t>
      </w:r>
    </w:p>
    <w:p w:rsidR="005D0B96" w:rsidRPr="00FF7EA8" w:rsidRDefault="005D0B96" w:rsidP="00731772">
      <w:pPr>
        <w:rPr>
          <w:sz w:val="26"/>
          <w:szCs w:val="26"/>
        </w:rPr>
      </w:pP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w:t>
      </w:r>
      <w:r w:rsidRPr="00FF7EA8">
        <w:rPr>
          <w:rFonts w:ascii="Times New Roman" w:hAnsi="Times New Roman" w:cs="Times New Roman"/>
          <w:sz w:val="26"/>
          <w:szCs w:val="26"/>
        </w:rPr>
        <w:tab/>
      </w:r>
      <w:r w:rsidRPr="00FF7EA8">
        <w:rPr>
          <w:rFonts w:ascii="Times New Roman" w:hAnsi="Times New Roman" w:cs="Times New Roman"/>
          <w:b/>
          <w:sz w:val="26"/>
          <w:szCs w:val="26"/>
        </w:rPr>
        <w:t>Vyhlášení jednotné přijímací zkoušky</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Jednotná přijímací zkouška ke vzdělávání ve střední škole pro školní rok 2020/2021 proběhne nejdříve 14 dnů ode dne obnovení osobní přítomnosti žáků na vzdělávání ve středních školách. Konkrétní termín jejího konání stanoví ministerstvo. </w:t>
      </w: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C46D8">
      <w:pPr>
        <w:pStyle w:val="Zkladntext"/>
        <w:rPr>
          <w:rFonts w:ascii="Times New Roman" w:hAnsi="Times New Roman" w:cs="Times New Roman"/>
          <w:b/>
          <w:sz w:val="26"/>
          <w:szCs w:val="26"/>
        </w:rPr>
      </w:pPr>
      <w:r w:rsidRPr="00FF7EA8">
        <w:rPr>
          <w:rFonts w:ascii="Times New Roman" w:hAnsi="Times New Roman" w:cs="Times New Roman"/>
          <w:sz w:val="26"/>
          <w:szCs w:val="26"/>
        </w:rPr>
        <w:t>•</w:t>
      </w:r>
      <w:r w:rsidRPr="00FF7EA8">
        <w:rPr>
          <w:rFonts w:ascii="Times New Roman" w:hAnsi="Times New Roman" w:cs="Times New Roman"/>
          <w:sz w:val="26"/>
          <w:szCs w:val="26"/>
        </w:rPr>
        <w:tab/>
      </w:r>
      <w:r w:rsidRPr="00FF7EA8">
        <w:rPr>
          <w:rFonts w:ascii="Times New Roman" w:hAnsi="Times New Roman" w:cs="Times New Roman"/>
          <w:b/>
          <w:sz w:val="26"/>
          <w:szCs w:val="26"/>
        </w:rPr>
        <w:t>Kdo se může účastnit přijímacího řízení</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Přijímacího řízení se mohou účastnit uchazeči, kteří v termínu stanoveném školským zákonem podali úplnou přihlášku řediteli střední školy. Zákon se vztahuje pouze na ty části přijímacího řízení, které ještě nebyly realizovány (typicky jednotná přijímací zkouška nebo školní přijímací zkoušky). Zákon se naopak netýká těch aspektů přijímacího řízení, nebo přijímacího řízení, které již proběhly (např. přijímaní do oborů vzděláván s talentovou zkouškou), dříve uzavřené části přijímacího řízení či již zrealizované přijímací řízení tedy zůstávají zachovány. </w:t>
      </w:r>
    </w:p>
    <w:p w:rsidR="00FC46D8" w:rsidRPr="00FF7EA8" w:rsidRDefault="00FC46D8" w:rsidP="00FC46D8">
      <w:pPr>
        <w:pStyle w:val="Zkladntext"/>
        <w:ind w:left="0"/>
        <w:rPr>
          <w:rFonts w:ascii="Times New Roman" w:hAnsi="Times New Roman" w:cs="Times New Roman"/>
          <w:sz w:val="26"/>
          <w:szCs w:val="26"/>
        </w:rPr>
      </w:pPr>
      <w:r w:rsidRPr="00FF7EA8">
        <w:rPr>
          <w:rFonts w:ascii="Times New Roman" w:hAnsi="Times New Roman" w:cs="Times New Roman"/>
          <w:sz w:val="26"/>
          <w:szCs w:val="26"/>
        </w:rPr>
        <w:tab/>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w:t>
      </w:r>
      <w:r w:rsidRPr="00FF7EA8">
        <w:rPr>
          <w:rFonts w:ascii="Times New Roman" w:hAnsi="Times New Roman" w:cs="Times New Roman"/>
          <w:sz w:val="26"/>
          <w:szCs w:val="26"/>
        </w:rPr>
        <w:tab/>
      </w:r>
      <w:r w:rsidRPr="00FF7EA8">
        <w:rPr>
          <w:rFonts w:ascii="Times New Roman" w:hAnsi="Times New Roman" w:cs="Times New Roman"/>
          <w:b/>
          <w:sz w:val="26"/>
          <w:szCs w:val="26"/>
        </w:rPr>
        <w:t>Obsah a forma přijímací zkoušky</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Z důvodu, aby byla v co největší míře zachována již dříve nastavená a vyhlášená pravidla, tedy aby se uchazečům pravidla neměnila, zůstávají obsah i forma přijímací zkoušky zachovány tak, jak je definuje i školský zákon</w:t>
      </w:r>
      <w:r w:rsidR="00FF7EA8" w:rsidRPr="00FF7EA8">
        <w:rPr>
          <w:rFonts w:ascii="Times New Roman" w:hAnsi="Times New Roman" w:cs="Times New Roman"/>
          <w:sz w:val="26"/>
          <w:szCs w:val="26"/>
        </w:rPr>
        <w:t xml:space="preserve">. </w:t>
      </w:r>
      <w:r w:rsidRPr="00FF7EA8">
        <w:rPr>
          <w:rFonts w:ascii="Times New Roman" w:hAnsi="Times New Roman" w:cs="Times New Roman"/>
          <w:sz w:val="26"/>
          <w:szCs w:val="26"/>
        </w:rPr>
        <w:t xml:space="preserve">Jednotná přijímací zkouška se skládá, stejně jako podle stávající právní úpravy, z písemného testu ze vzdělávacího oboru Český jazyk a literatura a písemného testu ze vzdělávacího oboru Matematika a její aplikace. </w:t>
      </w: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C46D8">
      <w:pPr>
        <w:pStyle w:val="Zkladntext"/>
        <w:rPr>
          <w:rFonts w:ascii="Times New Roman" w:hAnsi="Times New Roman" w:cs="Times New Roman"/>
          <w:b/>
          <w:sz w:val="26"/>
          <w:szCs w:val="26"/>
        </w:rPr>
      </w:pPr>
      <w:r w:rsidRPr="00FF7EA8">
        <w:rPr>
          <w:rFonts w:ascii="Times New Roman" w:hAnsi="Times New Roman" w:cs="Times New Roman"/>
          <w:sz w:val="26"/>
          <w:szCs w:val="26"/>
        </w:rPr>
        <w:t>•</w:t>
      </w:r>
      <w:r w:rsidRPr="00FF7EA8">
        <w:rPr>
          <w:rFonts w:ascii="Times New Roman" w:hAnsi="Times New Roman" w:cs="Times New Roman"/>
          <w:b/>
          <w:sz w:val="26"/>
          <w:szCs w:val="26"/>
        </w:rPr>
        <w:tab/>
        <w:t>Počet termínů v rámci 1. kola přijímacích zkoušek</w:t>
      </w:r>
    </w:p>
    <w:p w:rsidR="00FC46D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Oproti aktuálnímu znění školského zákona se v tomto případě stanoví, že každý uchazeč může písemný test z každého vzdělávacího oboru konat pouze jednou (zachován zůstává náhradní termín pro uchazeče, kteří se nemohli z omluvitelných důvodů zúčastnit prvního termínu, přičemž způsob omlouvání se neliší od úpravy ve školském zákoně). </w:t>
      </w:r>
    </w:p>
    <w:p w:rsidR="00FF7EA8" w:rsidRPr="00FF7EA8" w:rsidRDefault="00FF7EA8" w:rsidP="00FC46D8">
      <w:pPr>
        <w:pStyle w:val="Zkladntext"/>
        <w:rPr>
          <w:rFonts w:ascii="Times New Roman" w:hAnsi="Times New Roman" w:cs="Times New Roman"/>
          <w:sz w:val="26"/>
          <w:szCs w:val="26"/>
        </w:rPr>
      </w:pP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w:t>
      </w:r>
      <w:r w:rsidRPr="00FF7EA8">
        <w:rPr>
          <w:rFonts w:ascii="Times New Roman" w:hAnsi="Times New Roman" w:cs="Times New Roman"/>
          <w:b/>
          <w:sz w:val="26"/>
          <w:szCs w:val="26"/>
        </w:rPr>
        <w:tab/>
        <w:t>Školní přijímací zkouška</w:t>
      </w:r>
    </w:p>
    <w:p w:rsidR="00FC46D8" w:rsidRPr="00FF7EA8" w:rsidRDefault="00FC46D8" w:rsidP="00FF7EA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Školní přijímací zkouška se musí uskutečnit, pokud ji škola zahrnula do kritérií vyhlášených v termínu stanoveném školským zákonem, nejpozději do termínu (včetně) konání jednotné zkoušky, protože od tohoto dne se odvíjí termíny pro vyhodnocení výsledků uchazečů. Ředitel neprodleně vyhlásí dva termíny konání školní přijímací zkoušky v návaznosti na harmonogram přijímacího řízení, který vyhlásí MŠMT. </w:t>
      </w: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C46D8">
      <w:pPr>
        <w:pStyle w:val="Zkladntext"/>
        <w:rPr>
          <w:rFonts w:ascii="Times New Roman" w:hAnsi="Times New Roman" w:cs="Times New Roman"/>
          <w:b/>
          <w:sz w:val="26"/>
          <w:szCs w:val="26"/>
        </w:rPr>
      </w:pPr>
      <w:r w:rsidRPr="00FF7EA8">
        <w:rPr>
          <w:rFonts w:ascii="Times New Roman" w:hAnsi="Times New Roman" w:cs="Times New Roman"/>
          <w:sz w:val="26"/>
          <w:szCs w:val="26"/>
        </w:rPr>
        <w:t>•</w:t>
      </w:r>
      <w:r w:rsidRPr="00FF7EA8">
        <w:rPr>
          <w:rFonts w:ascii="Times New Roman" w:hAnsi="Times New Roman" w:cs="Times New Roman"/>
          <w:sz w:val="26"/>
          <w:szCs w:val="26"/>
        </w:rPr>
        <w:tab/>
      </w:r>
      <w:r w:rsidRPr="00FF7EA8">
        <w:rPr>
          <w:rFonts w:ascii="Times New Roman" w:hAnsi="Times New Roman" w:cs="Times New Roman"/>
          <w:b/>
          <w:sz w:val="26"/>
          <w:szCs w:val="26"/>
        </w:rPr>
        <w:t>Vyhodnocování přijímací zkoušky v případech, kdy je její součástí jednotná přijímací zkouška</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Jednotnou přijímací zkoušku vyhodnocuje, stejně jako doposud, Centrum. Škola odešle Centru ještě v den konání jednotné přijímací zkoušky naskenované testy s tím, že Centrum je povinno zpřístupnit škole výsledky do 7 kalendářních dní. Centrum výsledky zpřístupní i druhé škole, kterou uchazeč uvedl na přihlášce.</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Škola má pak 1 den na to, aby určila výsledné pořadí uchazečů a zveřejnila seznam s výsledky uchazečů, což má za cíl urychlit délku trvání přijímacího řízení tak, aby uchazeči znali výsledky v co nejkratším možném termínu.</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Ředitel školy hodnotí splnění kritérií přijímacího řízení uchazečem podle současného znění školského zákona, nemění se ani procentuální váha výsledků jednotné přijímací zkoušky na celkovém výsledku přijímacího řízení (tedy 60 % pro uchazeče obecně a 40 % pro uchazeče o studium na gymnáziu se sportovní přípravou).</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 </w:t>
      </w:r>
    </w:p>
    <w:p w:rsidR="00FC46D8" w:rsidRPr="00FF7EA8" w:rsidRDefault="00FC46D8" w:rsidP="00FF7EA8">
      <w:pPr>
        <w:pStyle w:val="Zkladntext"/>
        <w:numPr>
          <w:ilvl w:val="0"/>
          <w:numId w:val="7"/>
        </w:numPr>
        <w:rPr>
          <w:rFonts w:ascii="Times New Roman" w:hAnsi="Times New Roman" w:cs="Times New Roman"/>
          <w:b/>
          <w:sz w:val="26"/>
          <w:szCs w:val="26"/>
        </w:rPr>
      </w:pPr>
      <w:r w:rsidRPr="00FF7EA8">
        <w:rPr>
          <w:rFonts w:ascii="Times New Roman" w:hAnsi="Times New Roman" w:cs="Times New Roman"/>
          <w:b/>
          <w:sz w:val="26"/>
          <w:szCs w:val="26"/>
        </w:rPr>
        <w:t>Vyhodnocování přijímacího řízení v případech, kdy není její součást</w:t>
      </w:r>
      <w:r w:rsidR="00FF7EA8">
        <w:rPr>
          <w:rFonts w:ascii="Times New Roman" w:hAnsi="Times New Roman" w:cs="Times New Roman"/>
          <w:b/>
          <w:sz w:val="26"/>
          <w:szCs w:val="26"/>
        </w:rPr>
        <w:t xml:space="preserve">í </w:t>
      </w:r>
      <w:r w:rsidRPr="00FF7EA8">
        <w:rPr>
          <w:rFonts w:ascii="Times New Roman" w:hAnsi="Times New Roman" w:cs="Times New Roman"/>
          <w:b/>
          <w:sz w:val="26"/>
          <w:szCs w:val="26"/>
        </w:rPr>
        <w:t>jednotná přijímací zkouška ani školní přijímací zkouška</w:t>
      </w:r>
    </w:p>
    <w:p w:rsidR="00FC46D8" w:rsidRDefault="00FC46D8" w:rsidP="00FF7EA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Pokud se jednotná přijímací zkouška ani školní přijímací zkouška v prvním kole přijímacího řízení nekoná, to znamená typicky u oborů středního vzdělání s výučním listem, nemusí se s vyhodnocováním přijímacího řízení čekat na konání jednotné přijímací zkoušky a lze jej učinit i s předstihem (např. v průběhu dubna či května). Ředitel školy v tomto případě zveřejní seznam uchazečů do 5 pracovních dnů ode dne ukončení hodnocení a nepřijatým uchazečům nebo zákonným zástupcům nepřijatých nezletilých uchazečů odešle rozhodnutí. </w:t>
      </w:r>
    </w:p>
    <w:p w:rsidR="00FF7EA8" w:rsidRPr="00FF7EA8" w:rsidRDefault="00FF7EA8" w:rsidP="00FF7EA8">
      <w:pPr>
        <w:pStyle w:val="Zkladntext"/>
        <w:rPr>
          <w:rFonts w:ascii="Times New Roman" w:hAnsi="Times New Roman" w:cs="Times New Roman"/>
          <w:sz w:val="26"/>
          <w:szCs w:val="26"/>
        </w:rPr>
      </w:pPr>
    </w:p>
    <w:p w:rsidR="00FC46D8" w:rsidRPr="00FF7EA8" w:rsidRDefault="00FC46D8" w:rsidP="00FF7EA8">
      <w:pPr>
        <w:pStyle w:val="Zkladntext"/>
        <w:numPr>
          <w:ilvl w:val="0"/>
          <w:numId w:val="7"/>
        </w:numPr>
        <w:rPr>
          <w:rFonts w:ascii="Times New Roman" w:hAnsi="Times New Roman" w:cs="Times New Roman"/>
          <w:sz w:val="26"/>
          <w:szCs w:val="26"/>
        </w:rPr>
      </w:pPr>
      <w:r w:rsidRPr="00FF7EA8">
        <w:rPr>
          <w:rFonts w:ascii="Times New Roman" w:hAnsi="Times New Roman" w:cs="Times New Roman"/>
          <w:b/>
          <w:sz w:val="26"/>
          <w:szCs w:val="26"/>
        </w:rPr>
        <w:t>Zveřejnění výsledků a přijímání uchazečů na uvolněná místa</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Způsob zveřejnění výsledků je obdobný jako dnes, tedy škola vyvěsí seznam s výsledky s tím, že uchazeči budou uvedeni pod přiděleným registračním číslem. Seznam škola zveřejní na veřejně přístupném místě ve škole a na svých webových stránkách, a to alespoň na dobu 15 dnů.</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 xml:space="preserve">Zákon stanoví pro všechny střední školy stejný termín, do kdy nejpozději musí zveřejnit seznam s výsledky - 8 kalendářních dní od termínu jednotné přijímací </w:t>
      </w:r>
      <w:r w:rsidRPr="00FF7EA8">
        <w:rPr>
          <w:rFonts w:ascii="Times New Roman" w:hAnsi="Times New Roman" w:cs="Times New Roman"/>
          <w:sz w:val="26"/>
          <w:szCs w:val="26"/>
        </w:rPr>
        <w:lastRenderedPageBreak/>
        <w:t>zkoušky. Tento nejzazší termín platí i pro školy, které jednotnou přijímací zkoušku nekonají.</w:t>
      </w:r>
    </w:p>
    <w:p w:rsidR="00FC46D8" w:rsidRPr="00FF7EA8" w:rsidRDefault="00FC46D8" w:rsidP="00FF7EA8">
      <w:pPr>
        <w:pStyle w:val="Zkladntext"/>
        <w:rPr>
          <w:rFonts w:ascii="Times New Roman" w:hAnsi="Times New Roman" w:cs="Times New Roman"/>
          <w:sz w:val="26"/>
          <w:szCs w:val="26"/>
        </w:rPr>
      </w:pPr>
      <w:r w:rsidRPr="00FF7EA8">
        <w:rPr>
          <w:rFonts w:ascii="Times New Roman" w:hAnsi="Times New Roman" w:cs="Times New Roman"/>
          <w:sz w:val="26"/>
          <w:szCs w:val="26"/>
        </w:rPr>
        <w:t>Změna nastává ve způsobu uplatnění opravného prostředku. Zákon říká, že odvolání proti rozhodnutí ředitele školy není přípustné. K tomu se přistoupilo z důvodu urychlení procesu přijímání.</w:t>
      </w:r>
      <w:r w:rsidR="00FF7EA8">
        <w:rPr>
          <w:rFonts w:ascii="Times New Roman" w:hAnsi="Times New Roman" w:cs="Times New Roman"/>
          <w:sz w:val="26"/>
          <w:szCs w:val="26"/>
        </w:rPr>
        <w:t xml:space="preserve"> </w:t>
      </w:r>
      <w:r w:rsidRPr="00FF7EA8">
        <w:rPr>
          <w:rFonts w:ascii="Times New Roman" w:hAnsi="Times New Roman" w:cs="Times New Roman"/>
          <w:sz w:val="26"/>
          <w:szCs w:val="26"/>
        </w:rPr>
        <w:t>Nicméně ani letos uchazeči nepřichází o možnost být operativně přijati na místa, která budou případně uvolněna po uplynutí lhůty pro odevzdání zápisových lístků, pokud se v pořadí umístili „pod čarou“ (tedy o možnost „být přijati na odvolání“ jak je ve veřejnosti vžito). Standardní odvolání je letos nahrazeno institutem nového rozhodnutí podle § 101 písm. b) správního řádu, kterým lze změnit původní rozhodnutí o nepřijetí uchazeče. Díky tomuto mechanismu bude moci ředitel sám aktivně přijmout uchazeče na uvolněná místa podle výsledného pořadí po odevzdání zápisových lístků. Tj. škola činí kroky tak, aby v co nejkratším možném termínu za využití dosavadních výsledků přijímacího řízení naplnila kapacitu školy. Stále nicméně platí, že ředitel školy musí nechat volná místa pro uchazeče konající zkoušku v náhradním termínu.</w:t>
      </w:r>
    </w:p>
    <w:p w:rsidR="00FF7EA8" w:rsidRPr="00FF7EA8" w:rsidRDefault="00FC46D8" w:rsidP="00355111">
      <w:pPr>
        <w:pStyle w:val="Zkladntext"/>
        <w:rPr>
          <w:rFonts w:ascii="Times New Roman" w:hAnsi="Times New Roman" w:cs="Times New Roman"/>
          <w:sz w:val="26"/>
          <w:szCs w:val="26"/>
        </w:rPr>
      </w:pPr>
      <w:r w:rsidRPr="00FF7EA8">
        <w:rPr>
          <w:rFonts w:ascii="Times New Roman" w:hAnsi="Times New Roman" w:cs="Times New Roman"/>
          <w:sz w:val="26"/>
          <w:szCs w:val="26"/>
        </w:rPr>
        <w:t>Zákon také pamatuje právě na možnost změny uplatnění zápisového lístku, pokud k vydání nového rozhodnutí dojde.</w:t>
      </w:r>
      <w:r w:rsidR="00FF7EA8">
        <w:rPr>
          <w:rFonts w:ascii="Times New Roman" w:hAnsi="Times New Roman" w:cs="Times New Roman"/>
          <w:sz w:val="26"/>
          <w:szCs w:val="26"/>
        </w:rPr>
        <w:t xml:space="preserve"> </w:t>
      </w:r>
      <w:r w:rsidRPr="00FF7EA8">
        <w:rPr>
          <w:rFonts w:ascii="Times New Roman" w:hAnsi="Times New Roman" w:cs="Times New Roman"/>
          <w:sz w:val="26"/>
          <w:szCs w:val="26"/>
        </w:rPr>
        <w:t>Nové rozhodnutí se vždy řeší pouze na úrovni školy (tj. bez ingerence krajského úřadu).MŠMT dále počítá s tím, že prováděcí vyhláška zaváže ředitele školy, aby ve výše popsaném případě k použití institutu nového rozhodnutí přistoupil, a aby na webových stránkách školy zveřejnil počet míst uvolněných po uplynutí lhůty pro odevzdání zápisových lístků, které bude obsazovat prostřednictvím vydání nových rozhodnutí.</w:t>
      </w:r>
      <w:r w:rsidR="00FF7EA8">
        <w:rPr>
          <w:rFonts w:ascii="Times New Roman" w:hAnsi="Times New Roman" w:cs="Times New Roman"/>
          <w:sz w:val="26"/>
          <w:szCs w:val="26"/>
        </w:rPr>
        <w:t xml:space="preserve"> </w:t>
      </w:r>
      <w:r w:rsidRPr="00FF7EA8">
        <w:rPr>
          <w:rFonts w:ascii="Times New Roman" w:hAnsi="Times New Roman" w:cs="Times New Roman"/>
          <w:sz w:val="26"/>
          <w:szCs w:val="26"/>
        </w:rPr>
        <w:t>Detailnější postup přijímání uchazečů na uvolněná místa bude blíže rozveden v prováděcím právním předpise.</w:t>
      </w: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F7EA8">
      <w:pPr>
        <w:pStyle w:val="Zkladntext"/>
        <w:numPr>
          <w:ilvl w:val="0"/>
          <w:numId w:val="7"/>
        </w:numPr>
        <w:rPr>
          <w:rFonts w:ascii="Times New Roman" w:hAnsi="Times New Roman" w:cs="Times New Roman"/>
          <w:b/>
          <w:sz w:val="26"/>
          <w:szCs w:val="26"/>
        </w:rPr>
      </w:pPr>
      <w:r w:rsidRPr="00FF7EA8">
        <w:rPr>
          <w:rFonts w:ascii="Times New Roman" w:hAnsi="Times New Roman" w:cs="Times New Roman"/>
          <w:b/>
          <w:sz w:val="26"/>
          <w:szCs w:val="26"/>
        </w:rPr>
        <w:t>Náhradní termíny</w:t>
      </w:r>
    </w:p>
    <w:p w:rsidR="00FC46D8" w:rsidRPr="00FF7EA8" w:rsidRDefault="00FC46D8" w:rsidP="00FF7EA8">
      <w:pPr>
        <w:pStyle w:val="Zkladntext"/>
        <w:rPr>
          <w:rFonts w:ascii="Times New Roman" w:hAnsi="Times New Roman" w:cs="Times New Roman"/>
          <w:sz w:val="26"/>
          <w:szCs w:val="26"/>
        </w:rPr>
      </w:pPr>
      <w:r w:rsidRPr="00FF7EA8">
        <w:rPr>
          <w:rFonts w:ascii="Times New Roman" w:hAnsi="Times New Roman" w:cs="Times New Roman"/>
          <w:sz w:val="26"/>
          <w:szCs w:val="26"/>
        </w:rPr>
        <w:t>Náhradní termín jednotné přijímací zkoušky stanoví a zveřejní na svých internetových stránkách ministerstvo. Náhradní termín školní přijímací zkoušky stanoví uchazeči ředitel školy, a to opět v návaznosti na</w:t>
      </w:r>
      <w:r w:rsidR="00FF7EA8">
        <w:rPr>
          <w:rFonts w:ascii="Times New Roman" w:hAnsi="Times New Roman" w:cs="Times New Roman"/>
          <w:sz w:val="26"/>
          <w:szCs w:val="26"/>
        </w:rPr>
        <w:t xml:space="preserve"> </w:t>
      </w:r>
      <w:r w:rsidRPr="00FF7EA8">
        <w:rPr>
          <w:rFonts w:ascii="Times New Roman" w:hAnsi="Times New Roman" w:cs="Times New Roman"/>
          <w:sz w:val="26"/>
          <w:szCs w:val="26"/>
        </w:rPr>
        <w:t>harmonogram stanovený ministerstvem. Tzn. náhradní termín školní přijímací zkoušky musí být nejpozději v den náhradního termínu jednotné přijímací zkoušky. Platí, že stejný termín pro konání školní přijímací zkoušky v jiném oboru vzdělání nebo jiné škole není důvodem stanovení náhradního termínu konání této zkoušky.</w:t>
      </w:r>
    </w:p>
    <w:p w:rsidR="00FF7EA8" w:rsidRDefault="00FF7EA8" w:rsidP="00FC46D8">
      <w:pPr>
        <w:pStyle w:val="Zkladntext"/>
        <w:rPr>
          <w:rFonts w:ascii="Times New Roman" w:hAnsi="Times New Roman" w:cs="Times New Roman"/>
          <w:sz w:val="26"/>
          <w:szCs w:val="26"/>
        </w:rPr>
      </w:pPr>
    </w:p>
    <w:p w:rsidR="00FC46D8" w:rsidRPr="00FF7EA8" w:rsidRDefault="00FC46D8" w:rsidP="00FF7EA8">
      <w:pPr>
        <w:pStyle w:val="Zkladntext"/>
        <w:numPr>
          <w:ilvl w:val="0"/>
          <w:numId w:val="7"/>
        </w:numPr>
        <w:rPr>
          <w:rFonts w:ascii="Times New Roman" w:hAnsi="Times New Roman" w:cs="Times New Roman"/>
          <w:sz w:val="26"/>
          <w:szCs w:val="26"/>
        </w:rPr>
      </w:pPr>
      <w:r w:rsidRPr="00FF7EA8">
        <w:rPr>
          <w:rFonts w:ascii="Times New Roman" w:hAnsi="Times New Roman" w:cs="Times New Roman"/>
          <w:b/>
          <w:sz w:val="26"/>
          <w:szCs w:val="26"/>
        </w:rPr>
        <w:t>Odevzdání zápisového lístku</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Úprava pro zápisový lístek je obdobná jako ve školském zákoně s tím, že lhůta je 5 pracovních dnů a počítá se od nejzazšího termínu pro zveřejnění seznamu s výsledky uchazečů (tedy jak pro řádný, tak pro náhradní termín). Uchazeč může uplatnit zápisový lístek opakovaně i tehdy, pokud je přijat na základě nového rozhodnutí vydaného podle správního řádu. Nové rozhodnutí předloží uchazeč ve škole, kam odevzdal zápisový lístek, a ta mu vydá zápisový lístek k odevzdání na druhou školu.</w:t>
      </w: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F7EA8">
      <w:pPr>
        <w:pStyle w:val="Zkladntext"/>
        <w:numPr>
          <w:ilvl w:val="0"/>
          <w:numId w:val="7"/>
        </w:numPr>
        <w:rPr>
          <w:rFonts w:ascii="Times New Roman" w:hAnsi="Times New Roman" w:cs="Times New Roman"/>
          <w:b/>
          <w:sz w:val="26"/>
          <w:szCs w:val="26"/>
        </w:rPr>
      </w:pPr>
      <w:r w:rsidRPr="00FF7EA8">
        <w:rPr>
          <w:rFonts w:ascii="Times New Roman" w:hAnsi="Times New Roman" w:cs="Times New Roman"/>
          <w:b/>
          <w:sz w:val="26"/>
          <w:szCs w:val="26"/>
        </w:rPr>
        <w:t>Další pravidla pro konání přijímací zkoušky</w:t>
      </w:r>
    </w:p>
    <w:p w:rsidR="00FC46D8" w:rsidRPr="00FF7EA8" w:rsidRDefault="00FC46D8" w:rsidP="00FC46D8">
      <w:pPr>
        <w:pStyle w:val="Zkladntext"/>
        <w:rPr>
          <w:rFonts w:ascii="Times New Roman" w:hAnsi="Times New Roman" w:cs="Times New Roman"/>
          <w:sz w:val="26"/>
          <w:szCs w:val="26"/>
        </w:rPr>
      </w:pPr>
      <w:r w:rsidRPr="00FF7EA8">
        <w:rPr>
          <w:rFonts w:ascii="Times New Roman" w:hAnsi="Times New Roman" w:cs="Times New Roman"/>
          <w:sz w:val="26"/>
          <w:szCs w:val="26"/>
        </w:rPr>
        <w:t>V přijímacím řízení se pro úpravu podmínek uchazečů se speciálními vzdělávacími potřebami, nebo osob, které získali předchozí vzdělávání v zahraničí, uplatní stejná pravidla, která jsou uvedena ve školském zákoně a stávajících prováděcích předpisech.</w:t>
      </w:r>
    </w:p>
    <w:p w:rsidR="00FC46D8" w:rsidRPr="00FF7EA8" w:rsidRDefault="00FC46D8" w:rsidP="00FC46D8">
      <w:pPr>
        <w:pStyle w:val="Zkladntext"/>
        <w:rPr>
          <w:rFonts w:ascii="Times New Roman" w:hAnsi="Times New Roman" w:cs="Times New Roman"/>
          <w:sz w:val="26"/>
          <w:szCs w:val="26"/>
        </w:rPr>
      </w:pPr>
    </w:p>
    <w:p w:rsidR="00FC46D8" w:rsidRPr="00FF7EA8" w:rsidRDefault="00FC46D8" w:rsidP="00FF7EA8">
      <w:pPr>
        <w:pStyle w:val="Zkladntext"/>
        <w:numPr>
          <w:ilvl w:val="0"/>
          <w:numId w:val="7"/>
        </w:numPr>
        <w:rPr>
          <w:rFonts w:ascii="Times New Roman" w:hAnsi="Times New Roman" w:cs="Times New Roman"/>
          <w:b/>
          <w:sz w:val="26"/>
          <w:szCs w:val="26"/>
        </w:rPr>
      </w:pPr>
      <w:r w:rsidRPr="00FF7EA8">
        <w:rPr>
          <w:rFonts w:ascii="Times New Roman" w:hAnsi="Times New Roman" w:cs="Times New Roman"/>
          <w:b/>
          <w:sz w:val="26"/>
          <w:szCs w:val="26"/>
        </w:rPr>
        <w:lastRenderedPageBreak/>
        <w:t>Další kola přijímacího řízení</w:t>
      </w:r>
    </w:p>
    <w:p w:rsidR="00FC46D8" w:rsidRPr="00FF7EA8" w:rsidRDefault="00FC46D8" w:rsidP="00FC46D8">
      <w:pPr>
        <w:pStyle w:val="Zkladntext"/>
        <w:ind w:left="0"/>
        <w:jc w:val="left"/>
        <w:rPr>
          <w:rFonts w:ascii="Times New Roman" w:hAnsi="Times New Roman" w:cs="Times New Roman"/>
          <w:sz w:val="26"/>
          <w:szCs w:val="26"/>
        </w:rPr>
      </w:pPr>
      <w:r w:rsidRPr="00FF7EA8">
        <w:rPr>
          <w:rFonts w:ascii="Times New Roman" w:hAnsi="Times New Roman" w:cs="Times New Roman"/>
          <w:sz w:val="26"/>
          <w:szCs w:val="26"/>
        </w:rPr>
        <w:t>Další kola se konají v souladu se stávající právní úpravou.</w:t>
      </w:r>
    </w:p>
    <w:p w:rsidR="005D0B96" w:rsidRPr="00FC46D8" w:rsidRDefault="005D0B96" w:rsidP="00731772">
      <w:pPr>
        <w:rPr>
          <w:sz w:val="28"/>
          <w:szCs w:val="28"/>
        </w:rPr>
      </w:pPr>
    </w:p>
    <w:p w:rsidR="00731772" w:rsidRDefault="00731772" w:rsidP="00731772">
      <w:pPr>
        <w:rPr>
          <w:sz w:val="36"/>
          <w:szCs w:val="36"/>
        </w:rPr>
      </w:pPr>
    </w:p>
    <w:p w:rsidR="00FF7EA8" w:rsidRDefault="00FF7EA8" w:rsidP="00731772">
      <w:pPr>
        <w:rPr>
          <w:sz w:val="28"/>
          <w:szCs w:val="28"/>
        </w:rPr>
      </w:pPr>
    </w:p>
    <w:p w:rsidR="00FF7EA8" w:rsidRDefault="00FF7EA8" w:rsidP="00731772">
      <w:pPr>
        <w:rPr>
          <w:sz w:val="28"/>
          <w:szCs w:val="28"/>
        </w:rPr>
      </w:pPr>
    </w:p>
    <w:p w:rsidR="00FF7EA8" w:rsidRPr="00FF7EA8" w:rsidRDefault="00FF7EA8" w:rsidP="00731772">
      <w:pPr>
        <w:rPr>
          <w:sz w:val="28"/>
          <w:szCs w:val="28"/>
        </w:rPr>
      </w:pPr>
    </w:p>
    <w:p w:rsidR="007E2BE5" w:rsidRPr="00FF7EA8" w:rsidRDefault="007E2BE5" w:rsidP="00731772">
      <w:pPr>
        <w:rPr>
          <w:sz w:val="28"/>
          <w:szCs w:val="28"/>
        </w:rPr>
      </w:pPr>
    </w:p>
    <w:p w:rsidR="007E2BE5" w:rsidRPr="00FF7EA8" w:rsidRDefault="007E2BE5" w:rsidP="00731772">
      <w:pPr>
        <w:rPr>
          <w:sz w:val="28"/>
          <w:szCs w:val="28"/>
        </w:rPr>
      </w:pPr>
    </w:p>
    <w:p w:rsidR="00504719" w:rsidRDefault="00731772" w:rsidP="007E2BE5">
      <w:pPr>
        <w:rPr>
          <w:sz w:val="28"/>
          <w:szCs w:val="28"/>
        </w:rPr>
      </w:pPr>
      <w:r w:rsidRPr="00FF7EA8">
        <w:rPr>
          <w:sz w:val="28"/>
          <w:szCs w:val="28"/>
        </w:rPr>
        <w:t>Ve Vysokém Vesel</w:t>
      </w:r>
      <w:r w:rsidR="007E2BE5" w:rsidRPr="00FF7EA8">
        <w:rPr>
          <w:sz w:val="28"/>
          <w:szCs w:val="28"/>
        </w:rPr>
        <w:t>í</w:t>
      </w:r>
      <w:r w:rsidR="00504719">
        <w:rPr>
          <w:sz w:val="28"/>
          <w:szCs w:val="28"/>
        </w:rPr>
        <w:t xml:space="preserve"> 6.4.2020</w:t>
      </w:r>
    </w:p>
    <w:p w:rsidR="007E2BE5" w:rsidRPr="00FF7EA8" w:rsidRDefault="007E2BE5" w:rsidP="007E2BE5">
      <w:pPr>
        <w:rPr>
          <w:sz w:val="28"/>
          <w:szCs w:val="28"/>
        </w:rPr>
      </w:pPr>
      <w:bookmarkStart w:id="0" w:name="_GoBack"/>
      <w:bookmarkEnd w:id="0"/>
      <w:r w:rsidRPr="00FF7EA8">
        <w:rPr>
          <w:sz w:val="28"/>
          <w:szCs w:val="28"/>
        </w:rPr>
        <w:tab/>
      </w:r>
      <w:r w:rsidRPr="00FF7EA8">
        <w:rPr>
          <w:sz w:val="28"/>
          <w:szCs w:val="28"/>
        </w:rPr>
        <w:tab/>
      </w:r>
      <w:r w:rsidRPr="00FF7EA8">
        <w:rPr>
          <w:sz w:val="28"/>
          <w:szCs w:val="28"/>
        </w:rPr>
        <w:tab/>
      </w:r>
    </w:p>
    <w:p w:rsidR="00731772" w:rsidRPr="00FF7EA8" w:rsidRDefault="007E2BE5" w:rsidP="007E2BE5">
      <w:pPr>
        <w:jc w:val="right"/>
        <w:rPr>
          <w:sz w:val="28"/>
          <w:szCs w:val="28"/>
        </w:rPr>
      </w:pPr>
      <w:r w:rsidRPr="00FF7EA8">
        <w:rPr>
          <w:sz w:val="28"/>
          <w:szCs w:val="28"/>
        </w:rPr>
        <w:t xml:space="preserve">Mgr. Magdaléna </w:t>
      </w:r>
      <w:proofErr w:type="spellStart"/>
      <w:r w:rsidRPr="00FF7EA8">
        <w:rPr>
          <w:sz w:val="28"/>
          <w:szCs w:val="28"/>
        </w:rPr>
        <w:t>Neufus</w:t>
      </w:r>
      <w:r w:rsidR="00504719">
        <w:rPr>
          <w:sz w:val="28"/>
          <w:szCs w:val="28"/>
        </w:rPr>
        <w:t>s</w:t>
      </w:r>
      <w:r w:rsidRPr="00FF7EA8">
        <w:rPr>
          <w:sz w:val="28"/>
          <w:szCs w:val="28"/>
        </w:rPr>
        <w:t>ová</w:t>
      </w:r>
      <w:proofErr w:type="spellEnd"/>
    </w:p>
    <w:p w:rsidR="00FF7EA8" w:rsidRPr="00FF7EA8" w:rsidRDefault="007E2BE5" w:rsidP="00355111">
      <w:pPr>
        <w:jc w:val="right"/>
        <w:rPr>
          <w:sz w:val="28"/>
          <w:szCs w:val="28"/>
        </w:rPr>
      </w:pPr>
      <w:r w:rsidRPr="00FF7EA8">
        <w:rPr>
          <w:sz w:val="28"/>
          <w:szCs w:val="28"/>
        </w:rPr>
        <w:t xml:space="preserve">ředitelka </w:t>
      </w:r>
    </w:p>
    <w:sectPr w:rsidR="00FF7EA8" w:rsidRPr="00FF7EA8" w:rsidSect="0035511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8C9" w:rsidRDefault="007218C9" w:rsidP="00FC46D8">
      <w:r>
        <w:separator/>
      </w:r>
    </w:p>
  </w:endnote>
  <w:endnote w:type="continuationSeparator" w:id="0">
    <w:p w:rsidR="007218C9" w:rsidRDefault="007218C9" w:rsidP="00FC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F4" w:rsidRDefault="007166F4">
    <w:pPr>
      <w:pStyle w:val="Zkladn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8C9" w:rsidRDefault="007218C9" w:rsidP="00FC46D8">
      <w:r>
        <w:separator/>
      </w:r>
    </w:p>
  </w:footnote>
  <w:footnote w:type="continuationSeparator" w:id="0">
    <w:p w:rsidR="007218C9" w:rsidRDefault="007218C9" w:rsidP="00FC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F4" w:rsidRDefault="007166F4">
    <w:pPr>
      <w:pStyle w:val="Zkladn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0A2"/>
    <w:multiLevelType w:val="hybridMultilevel"/>
    <w:tmpl w:val="A014A454"/>
    <w:lvl w:ilvl="0" w:tplc="04050001">
      <w:start w:val="1"/>
      <w:numFmt w:val="bullet"/>
      <w:lvlText w:val=""/>
      <w:lvlJc w:val="left"/>
      <w:pPr>
        <w:ind w:left="856" w:hanging="360"/>
      </w:pPr>
      <w:rPr>
        <w:rFonts w:ascii="Symbol" w:hAnsi="Symbol" w:hint="default"/>
      </w:rPr>
    </w:lvl>
    <w:lvl w:ilvl="1" w:tplc="04050003" w:tentative="1">
      <w:start w:val="1"/>
      <w:numFmt w:val="bullet"/>
      <w:lvlText w:val="o"/>
      <w:lvlJc w:val="left"/>
      <w:pPr>
        <w:ind w:left="1576" w:hanging="360"/>
      </w:pPr>
      <w:rPr>
        <w:rFonts w:ascii="Courier New" w:hAnsi="Courier New" w:cs="Courier New" w:hint="default"/>
      </w:rPr>
    </w:lvl>
    <w:lvl w:ilvl="2" w:tplc="04050005" w:tentative="1">
      <w:start w:val="1"/>
      <w:numFmt w:val="bullet"/>
      <w:lvlText w:val=""/>
      <w:lvlJc w:val="left"/>
      <w:pPr>
        <w:ind w:left="2296" w:hanging="360"/>
      </w:pPr>
      <w:rPr>
        <w:rFonts w:ascii="Wingdings" w:hAnsi="Wingdings" w:hint="default"/>
      </w:rPr>
    </w:lvl>
    <w:lvl w:ilvl="3" w:tplc="04050001" w:tentative="1">
      <w:start w:val="1"/>
      <w:numFmt w:val="bullet"/>
      <w:lvlText w:val=""/>
      <w:lvlJc w:val="left"/>
      <w:pPr>
        <w:ind w:left="3016" w:hanging="360"/>
      </w:pPr>
      <w:rPr>
        <w:rFonts w:ascii="Symbol" w:hAnsi="Symbol" w:hint="default"/>
      </w:rPr>
    </w:lvl>
    <w:lvl w:ilvl="4" w:tplc="04050003" w:tentative="1">
      <w:start w:val="1"/>
      <w:numFmt w:val="bullet"/>
      <w:lvlText w:val="o"/>
      <w:lvlJc w:val="left"/>
      <w:pPr>
        <w:ind w:left="3736" w:hanging="360"/>
      </w:pPr>
      <w:rPr>
        <w:rFonts w:ascii="Courier New" w:hAnsi="Courier New" w:cs="Courier New" w:hint="default"/>
      </w:rPr>
    </w:lvl>
    <w:lvl w:ilvl="5" w:tplc="04050005" w:tentative="1">
      <w:start w:val="1"/>
      <w:numFmt w:val="bullet"/>
      <w:lvlText w:val=""/>
      <w:lvlJc w:val="left"/>
      <w:pPr>
        <w:ind w:left="4456" w:hanging="360"/>
      </w:pPr>
      <w:rPr>
        <w:rFonts w:ascii="Wingdings" w:hAnsi="Wingdings" w:hint="default"/>
      </w:rPr>
    </w:lvl>
    <w:lvl w:ilvl="6" w:tplc="04050001" w:tentative="1">
      <w:start w:val="1"/>
      <w:numFmt w:val="bullet"/>
      <w:lvlText w:val=""/>
      <w:lvlJc w:val="left"/>
      <w:pPr>
        <w:ind w:left="5176" w:hanging="360"/>
      </w:pPr>
      <w:rPr>
        <w:rFonts w:ascii="Symbol" w:hAnsi="Symbol" w:hint="default"/>
      </w:rPr>
    </w:lvl>
    <w:lvl w:ilvl="7" w:tplc="04050003" w:tentative="1">
      <w:start w:val="1"/>
      <w:numFmt w:val="bullet"/>
      <w:lvlText w:val="o"/>
      <w:lvlJc w:val="left"/>
      <w:pPr>
        <w:ind w:left="5896" w:hanging="360"/>
      </w:pPr>
      <w:rPr>
        <w:rFonts w:ascii="Courier New" w:hAnsi="Courier New" w:cs="Courier New" w:hint="default"/>
      </w:rPr>
    </w:lvl>
    <w:lvl w:ilvl="8" w:tplc="04050005" w:tentative="1">
      <w:start w:val="1"/>
      <w:numFmt w:val="bullet"/>
      <w:lvlText w:val=""/>
      <w:lvlJc w:val="left"/>
      <w:pPr>
        <w:ind w:left="6616" w:hanging="360"/>
      </w:pPr>
      <w:rPr>
        <w:rFonts w:ascii="Wingdings" w:hAnsi="Wingdings" w:hint="default"/>
      </w:rPr>
    </w:lvl>
  </w:abstractNum>
  <w:abstractNum w:abstractNumId="1" w15:restartNumberingAfterBreak="0">
    <w:nsid w:val="1F0F2C31"/>
    <w:multiLevelType w:val="hybridMultilevel"/>
    <w:tmpl w:val="BFD28B1C"/>
    <w:lvl w:ilvl="0" w:tplc="BBB0E204">
      <w:numFmt w:val="bullet"/>
      <w:lvlText w:val=""/>
      <w:lvlJc w:val="left"/>
      <w:pPr>
        <w:ind w:left="358" w:hanging="358"/>
      </w:pPr>
      <w:rPr>
        <w:rFonts w:ascii="Symbol" w:eastAsia="Symbol" w:hAnsi="Symbol" w:cs="Symbol" w:hint="default"/>
        <w:color w:val="428D95"/>
        <w:w w:val="100"/>
        <w:sz w:val="23"/>
        <w:szCs w:val="23"/>
        <w:lang w:val="cs-CZ" w:eastAsia="en-US" w:bidi="ar-SA"/>
      </w:rPr>
    </w:lvl>
    <w:lvl w:ilvl="1" w:tplc="03BA4B2E">
      <w:numFmt w:val="bullet"/>
      <w:lvlText w:val="•"/>
      <w:lvlJc w:val="left"/>
      <w:pPr>
        <w:ind w:left="1520" w:hanging="358"/>
      </w:pPr>
      <w:rPr>
        <w:rFonts w:hint="default"/>
        <w:lang w:val="cs-CZ" w:eastAsia="en-US" w:bidi="ar-SA"/>
      </w:rPr>
    </w:lvl>
    <w:lvl w:ilvl="2" w:tplc="B68456CC">
      <w:numFmt w:val="bullet"/>
      <w:lvlText w:val="•"/>
      <w:lvlJc w:val="left"/>
      <w:pPr>
        <w:ind w:left="2541" w:hanging="358"/>
      </w:pPr>
      <w:rPr>
        <w:rFonts w:hint="default"/>
        <w:lang w:val="cs-CZ" w:eastAsia="en-US" w:bidi="ar-SA"/>
      </w:rPr>
    </w:lvl>
    <w:lvl w:ilvl="3" w:tplc="33EC3D6A">
      <w:numFmt w:val="bullet"/>
      <w:lvlText w:val="•"/>
      <w:lvlJc w:val="left"/>
      <w:pPr>
        <w:ind w:left="3561" w:hanging="358"/>
      </w:pPr>
      <w:rPr>
        <w:rFonts w:hint="default"/>
        <w:lang w:val="cs-CZ" w:eastAsia="en-US" w:bidi="ar-SA"/>
      </w:rPr>
    </w:lvl>
    <w:lvl w:ilvl="4" w:tplc="7DEEB316">
      <w:numFmt w:val="bullet"/>
      <w:lvlText w:val="•"/>
      <w:lvlJc w:val="left"/>
      <w:pPr>
        <w:ind w:left="4582" w:hanging="358"/>
      </w:pPr>
      <w:rPr>
        <w:rFonts w:hint="default"/>
        <w:lang w:val="cs-CZ" w:eastAsia="en-US" w:bidi="ar-SA"/>
      </w:rPr>
    </w:lvl>
    <w:lvl w:ilvl="5" w:tplc="EF0E8F88">
      <w:numFmt w:val="bullet"/>
      <w:lvlText w:val="•"/>
      <w:lvlJc w:val="left"/>
      <w:pPr>
        <w:ind w:left="5603" w:hanging="358"/>
      </w:pPr>
      <w:rPr>
        <w:rFonts w:hint="default"/>
        <w:lang w:val="cs-CZ" w:eastAsia="en-US" w:bidi="ar-SA"/>
      </w:rPr>
    </w:lvl>
    <w:lvl w:ilvl="6" w:tplc="F8D6AAAC">
      <w:numFmt w:val="bullet"/>
      <w:lvlText w:val="•"/>
      <w:lvlJc w:val="left"/>
      <w:pPr>
        <w:ind w:left="6623" w:hanging="358"/>
      </w:pPr>
      <w:rPr>
        <w:rFonts w:hint="default"/>
        <w:lang w:val="cs-CZ" w:eastAsia="en-US" w:bidi="ar-SA"/>
      </w:rPr>
    </w:lvl>
    <w:lvl w:ilvl="7" w:tplc="2BCEC326">
      <w:numFmt w:val="bullet"/>
      <w:lvlText w:val="•"/>
      <w:lvlJc w:val="left"/>
      <w:pPr>
        <w:ind w:left="7644" w:hanging="358"/>
      </w:pPr>
      <w:rPr>
        <w:rFonts w:hint="default"/>
        <w:lang w:val="cs-CZ" w:eastAsia="en-US" w:bidi="ar-SA"/>
      </w:rPr>
    </w:lvl>
    <w:lvl w:ilvl="8" w:tplc="26F03F28">
      <w:numFmt w:val="bullet"/>
      <w:lvlText w:val="•"/>
      <w:lvlJc w:val="left"/>
      <w:pPr>
        <w:ind w:left="8665" w:hanging="358"/>
      </w:pPr>
      <w:rPr>
        <w:rFonts w:hint="default"/>
        <w:lang w:val="cs-CZ" w:eastAsia="en-US" w:bidi="ar-SA"/>
      </w:rPr>
    </w:lvl>
  </w:abstractNum>
  <w:abstractNum w:abstractNumId="2" w15:restartNumberingAfterBreak="0">
    <w:nsid w:val="22846DA5"/>
    <w:multiLevelType w:val="hybridMultilevel"/>
    <w:tmpl w:val="70E47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A8332F"/>
    <w:multiLevelType w:val="hybridMultilevel"/>
    <w:tmpl w:val="B6464EFA"/>
    <w:lvl w:ilvl="0" w:tplc="04050001">
      <w:start w:val="1"/>
      <w:numFmt w:val="bullet"/>
      <w:lvlText w:val=""/>
      <w:lvlJc w:val="left"/>
      <w:pPr>
        <w:ind w:left="1576" w:hanging="360"/>
      </w:pPr>
      <w:rPr>
        <w:rFonts w:ascii="Symbol" w:hAnsi="Symbol" w:hint="default"/>
      </w:rPr>
    </w:lvl>
    <w:lvl w:ilvl="1" w:tplc="04050003" w:tentative="1">
      <w:start w:val="1"/>
      <w:numFmt w:val="bullet"/>
      <w:lvlText w:val="o"/>
      <w:lvlJc w:val="left"/>
      <w:pPr>
        <w:ind w:left="2296" w:hanging="360"/>
      </w:pPr>
      <w:rPr>
        <w:rFonts w:ascii="Courier New" w:hAnsi="Courier New" w:cs="Courier New" w:hint="default"/>
      </w:rPr>
    </w:lvl>
    <w:lvl w:ilvl="2" w:tplc="04050005" w:tentative="1">
      <w:start w:val="1"/>
      <w:numFmt w:val="bullet"/>
      <w:lvlText w:val=""/>
      <w:lvlJc w:val="left"/>
      <w:pPr>
        <w:ind w:left="3016" w:hanging="360"/>
      </w:pPr>
      <w:rPr>
        <w:rFonts w:ascii="Wingdings" w:hAnsi="Wingdings" w:hint="default"/>
      </w:rPr>
    </w:lvl>
    <w:lvl w:ilvl="3" w:tplc="04050001" w:tentative="1">
      <w:start w:val="1"/>
      <w:numFmt w:val="bullet"/>
      <w:lvlText w:val=""/>
      <w:lvlJc w:val="left"/>
      <w:pPr>
        <w:ind w:left="3736" w:hanging="360"/>
      </w:pPr>
      <w:rPr>
        <w:rFonts w:ascii="Symbol" w:hAnsi="Symbol" w:hint="default"/>
      </w:rPr>
    </w:lvl>
    <w:lvl w:ilvl="4" w:tplc="04050003" w:tentative="1">
      <w:start w:val="1"/>
      <w:numFmt w:val="bullet"/>
      <w:lvlText w:val="o"/>
      <w:lvlJc w:val="left"/>
      <w:pPr>
        <w:ind w:left="4456" w:hanging="360"/>
      </w:pPr>
      <w:rPr>
        <w:rFonts w:ascii="Courier New" w:hAnsi="Courier New" w:cs="Courier New" w:hint="default"/>
      </w:rPr>
    </w:lvl>
    <w:lvl w:ilvl="5" w:tplc="04050005" w:tentative="1">
      <w:start w:val="1"/>
      <w:numFmt w:val="bullet"/>
      <w:lvlText w:val=""/>
      <w:lvlJc w:val="left"/>
      <w:pPr>
        <w:ind w:left="5176" w:hanging="360"/>
      </w:pPr>
      <w:rPr>
        <w:rFonts w:ascii="Wingdings" w:hAnsi="Wingdings" w:hint="default"/>
      </w:rPr>
    </w:lvl>
    <w:lvl w:ilvl="6" w:tplc="04050001" w:tentative="1">
      <w:start w:val="1"/>
      <w:numFmt w:val="bullet"/>
      <w:lvlText w:val=""/>
      <w:lvlJc w:val="left"/>
      <w:pPr>
        <w:ind w:left="5896" w:hanging="360"/>
      </w:pPr>
      <w:rPr>
        <w:rFonts w:ascii="Symbol" w:hAnsi="Symbol" w:hint="default"/>
      </w:rPr>
    </w:lvl>
    <w:lvl w:ilvl="7" w:tplc="04050003" w:tentative="1">
      <w:start w:val="1"/>
      <w:numFmt w:val="bullet"/>
      <w:lvlText w:val="o"/>
      <w:lvlJc w:val="left"/>
      <w:pPr>
        <w:ind w:left="6616" w:hanging="360"/>
      </w:pPr>
      <w:rPr>
        <w:rFonts w:ascii="Courier New" w:hAnsi="Courier New" w:cs="Courier New" w:hint="default"/>
      </w:rPr>
    </w:lvl>
    <w:lvl w:ilvl="8" w:tplc="04050005" w:tentative="1">
      <w:start w:val="1"/>
      <w:numFmt w:val="bullet"/>
      <w:lvlText w:val=""/>
      <w:lvlJc w:val="left"/>
      <w:pPr>
        <w:ind w:left="7336" w:hanging="360"/>
      </w:pPr>
      <w:rPr>
        <w:rFonts w:ascii="Wingdings" w:hAnsi="Wingdings" w:hint="default"/>
      </w:rPr>
    </w:lvl>
  </w:abstractNum>
  <w:abstractNum w:abstractNumId="4" w15:restartNumberingAfterBreak="0">
    <w:nsid w:val="4AC47470"/>
    <w:multiLevelType w:val="hybridMultilevel"/>
    <w:tmpl w:val="7B8E600C"/>
    <w:lvl w:ilvl="0" w:tplc="04050001">
      <w:start w:val="1"/>
      <w:numFmt w:val="bullet"/>
      <w:lvlText w:val=""/>
      <w:lvlJc w:val="left"/>
      <w:pPr>
        <w:ind w:left="856" w:hanging="360"/>
      </w:pPr>
      <w:rPr>
        <w:rFonts w:ascii="Symbol" w:hAnsi="Symbol" w:hint="default"/>
      </w:rPr>
    </w:lvl>
    <w:lvl w:ilvl="1" w:tplc="04050003" w:tentative="1">
      <w:start w:val="1"/>
      <w:numFmt w:val="bullet"/>
      <w:lvlText w:val="o"/>
      <w:lvlJc w:val="left"/>
      <w:pPr>
        <w:ind w:left="1576" w:hanging="360"/>
      </w:pPr>
      <w:rPr>
        <w:rFonts w:ascii="Courier New" w:hAnsi="Courier New" w:cs="Courier New" w:hint="default"/>
      </w:rPr>
    </w:lvl>
    <w:lvl w:ilvl="2" w:tplc="04050005" w:tentative="1">
      <w:start w:val="1"/>
      <w:numFmt w:val="bullet"/>
      <w:lvlText w:val=""/>
      <w:lvlJc w:val="left"/>
      <w:pPr>
        <w:ind w:left="2296" w:hanging="360"/>
      </w:pPr>
      <w:rPr>
        <w:rFonts w:ascii="Wingdings" w:hAnsi="Wingdings" w:hint="default"/>
      </w:rPr>
    </w:lvl>
    <w:lvl w:ilvl="3" w:tplc="04050001" w:tentative="1">
      <w:start w:val="1"/>
      <w:numFmt w:val="bullet"/>
      <w:lvlText w:val=""/>
      <w:lvlJc w:val="left"/>
      <w:pPr>
        <w:ind w:left="3016" w:hanging="360"/>
      </w:pPr>
      <w:rPr>
        <w:rFonts w:ascii="Symbol" w:hAnsi="Symbol" w:hint="default"/>
      </w:rPr>
    </w:lvl>
    <w:lvl w:ilvl="4" w:tplc="04050003" w:tentative="1">
      <w:start w:val="1"/>
      <w:numFmt w:val="bullet"/>
      <w:lvlText w:val="o"/>
      <w:lvlJc w:val="left"/>
      <w:pPr>
        <w:ind w:left="3736" w:hanging="360"/>
      </w:pPr>
      <w:rPr>
        <w:rFonts w:ascii="Courier New" w:hAnsi="Courier New" w:cs="Courier New" w:hint="default"/>
      </w:rPr>
    </w:lvl>
    <w:lvl w:ilvl="5" w:tplc="04050005" w:tentative="1">
      <w:start w:val="1"/>
      <w:numFmt w:val="bullet"/>
      <w:lvlText w:val=""/>
      <w:lvlJc w:val="left"/>
      <w:pPr>
        <w:ind w:left="4456" w:hanging="360"/>
      </w:pPr>
      <w:rPr>
        <w:rFonts w:ascii="Wingdings" w:hAnsi="Wingdings" w:hint="default"/>
      </w:rPr>
    </w:lvl>
    <w:lvl w:ilvl="6" w:tplc="04050001" w:tentative="1">
      <w:start w:val="1"/>
      <w:numFmt w:val="bullet"/>
      <w:lvlText w:val=""/>
      <w:lvlJc w:val="left"/>
      <w:pPr>
        <w:ind w:left="5176" w:hanging="360"/>
      </w:pPr>
      <w:rPr>
        <w:rFonts w:ascii="Symbol" w:hAnsi="Symbol" w:hint="default"/>
      </w:rPr>
    </w:lvl>
    <w:lvl w:ilvl="7" w:tplc="04050003" w:tentative="1">
      <w:start w:val="1"/>
      <w:numFmt w:val="bullet"/>
      <w:lvlText w:val="o"/>
      <w:lvlJc w:val="left"/>
      <w:pPr>
        <w:ind w:left="5896" w:hanging="360"/>
      </w:pPr>
      <w:rPr>
        <w:rFonts w:ascii="Courier New" w:hAnsi="Courier New" w:cs="Courier New" w:hint="default"/>
      </w:rPr>
    </w:lvl>
    <w:lvl w:ilvl="8" w:tplc="04050005" w:tentative="1">
      <w:start w:val="1"/>
      <w:numFmt w:val="bullet"/>
      <w:lvlText w:val=""/>
      <w:lvlJc w:val="left"/>
      <w:pPr>
        <w:ind w:left="6616" w:hanging="360"/>
      </w:pPr>
      <w:rPr>
        <w:rFonts w:ascii="Wingdings" w:hAnsi="Wingdings" w:hint="default"/>
      </w:rPr>
    </w:lvl>
  </w:abstractNum>
  <w:abstractNum w:abstractNumId="5" w15:restartNumberingAfterBreak="0">
    <w:nsid w:val="4F8B5B7E"/>
    <w:multiLevelType w:val="hybridMultilevel"/>
    <w:tmpl w:val="7A78D68C"/>
    <w:lvl w:ilvl="0" w:tplc="62BE88A4">
      <w:numFmt w:val="bullet"/>
      <w:lvlText w:val=""/>
      <w:lvlJc w:val="left"/>
      <w:pPr>
        <w:ind w:left="494" w:hanging="358"/>
      </w:pPr>
      <w:rPr>
        <w:rFonts w:ascii="Wingdings" w:eastAsia="Wingdings" w:hAnsi="Wingdings" w:cs="Wingdings" w:hint="default"/>
        <w:color w:val="428D95"/>
        <w:w w:val="55"/>
        <w:sz w:val="23"/>
        <w:szCs w:val="23"/>
        <w:lang w:val="cs-CZ" w:eastAsia="en-US" w:bidi="ar-SA"/>
      </w:rPr>
    </w:lvl>
    <w:lvl w:ilvl="1" w:tplc="5C907442">
      <w:numFmt w:val="bullet"/>
      <w:lvlText w:val="•"/>
      <w:lvlJc w:val="left"/>
      <w:pPr>
        <w:ind w:left="1520" w:hanging="358"/>
      </w:pPr>
      <w:rPr>
        <w:rFonts w:hint="default"/>
        <w:lang w:val="cs-CZ" w:eastAsia="en-US" w:bidi="ar-SA"/>
      </w:rPr>
    </w:lvl>
    <w:lvl w:ilvl="2" w:tplc="A64677AA">
      <w:numFmt w:val="bullet"/>
      <w:lvlText w:val="•"/>
      <w:lvlJc w:val="left"/>
      <w:pPr>
        <w:ind w:left="2541" w:hanging="358"/>
      </w:pPr>
      <w:rPr>
        <w:rFonts w:hint="default"/>
        <w:lang w:val="cs-CZ" w:eastAsia="en-US" w:bidi="ar-SA"/>
      </w:rPr>
    </w:lvl>
    <w:lvl w:ilvl="3" w:tplc="4948BBFE">
      <w:numFmt w:val="bullet"/>
      <w:lvlText w:val="•"/>
      <w:lvlJc w:val="left"/>
      <w:pPr>
        <w:ind w:left="3561" w:hanging="358"/>
      </w:pPr>
      <w:rPr>
        <w:rFonts w:hint="default"/>
        <w:lang w:val="cs-CZ" w:eastAsia="en-US" w:bidi="ar-SA"/>
      </w:rPr>
    </w:lvl>
    <w:lvl w:ilvl="4" w:tplc="B232BCC0">
      <w:numFmt w:val="bullet"/>
      <w:lvlText w:val="•"/>
      <w:lvlJc w:val="left"/>
      <w:pPr>
        <w:ind w:left="4582" w:hanging="358"/>
      </w:pPr>
      <w:rPr>
        <w:rFonts w:hint="default"/>
        <w:lang w:val="cs-CZ" w:eastAsia="en-US" w:bidi="ar-SA"/>
      </w:rPr>
    </w:lvl>
    <w:lvl w:ilvl="5" w:tplc="C54A32A8">
      <w:numFmt w:val="bullet"/>
      <w:lvlText w:val="•"/>
      <w:lvlJc w:val="left"/>
      <w:pPr>
        <w:ind w:left="5603" w:hanging="358"/>
      </w:pPr>
      <w:rPr>
        <w:rFonts w:hint="default"/>
        <w:lang w:val="cs-CZ" w:eastAsia="en-US" w:bidi="ar-SA"/>
      </w:rPr>
    </w:lvl>
    <w:lvl w:ilvl="6" w:tplc="A07C3ECA">
      <w:numFmt w:val="bullet"/>
      <w:lvlText w:val="•"/>
      <w:lvlJc w:val="left"/>
      <w:pPr>
        <w:ind w:left="6623" w:hanging="358"/>
      </w:pPr>
      <w:rPr>
        <w:rFonts w:hint="default"/>
        <w:lang w:val="cs-CZ" w:eastAsia="en-US" w:bidi="ar-SA"/>
      </w:rPr>
    </w:lvl>
    <w:lvl w:ilvl="7" w:tplc="19B8090C">
      <w:numFmt w:val="bullet"/>
      <w:lvlText w:val="•"/>
      <w:lvlJc w:val="left"/>
      <w:pPr>
        <w:ind w:left="7644" w:hanging="358"/>
      </w:pPr>
      <w:rPr>
        <w:rFonts w:hint="default"/>
        <w:lang w:val="cs-CZ" w:eastAsia="en-US" w:bidi="ar-SA"/>
      </w:rPr>
    </w:lvl>
    <w:lvl w:ilvl="8" w:tplc="592A081A">
      <w:numFmt w:val="bullet"/>
      <w:lvlText w:val="•"/>
      <w:lvlJc w:val="left"/>
      <w:pPr>
        <w:ind w:left="8665" w:hanging="358"/>
      </w:pPr>
      <w:rPr>
        <w:rFonts w:hint="default"/>
        <w:lang w:val="cs-CZ" w:eastAsia="en-US" w:bidi="ar-SA"/>
      </w:rPr>
    </w:lvl>
  </w:abstractNum>
  <w:abstractNum w:abstractNumId="6" w15:restartNumberingAfterBreak="0">
    <w:nsid w:val="5F185C83"/>
    <w:multiLevelType w:val="hybridMultilevel"/>
    <w:tmpl w:val="9460BFB0"/>
    <w:lvl w:ilvl="0" w:tplc="3F9472FE">
      <w:numFmt w:val="bullet"/>
      <w:lvlText w:val=""/>
      <w:lvlJc w:val="left"/>
      <w:pPr>
        <w:ind w:left="494" w:hanging="358"/>
      </w:pPr>
      <w:rPr>
        <w:rFonts w:ascii="Wingdings" w:eastAsia="Wingdings" w:hAnsi="Wingdings" w:cs="Wingdings" w:hint="default"/>
        <w:color w:val="428D95"/>
        <w:w w:val="55"/>
        <w:sz w:val="23"/>
        <w:szCs w:val="23"/>
        <w:lang w:val="cs-CZ" w:eastAsia="en-US" w:bidi="ar-SA"/>
      </w:rPr>
    </w:lvl>
    <w:lvl w:ilvl="1" w:tplc="E8A46BDC">
      <w:numFmt w:val="bullet"/>
      <w:lvlText w:val="•"/>
      <w:lvlJc w:val="left"/>
      <w:pPr>
        <w:ind w:left="1520" w:hanging="358"/>
      </w:pPr>
      <w:rPr>
        <w:rFonts w:hint="default"/>
        <w:lang w:val="cs-CZ" w:eastAsia="en-US" w:bidi="ar-SA"/>
      </w:rPr>
    </w:lvl>
    <w:lvl w:ilvl="2" w:tplc="4D88DD10">
      <w:numFmt w:val="bullet"/>
      <w:lvlText w:val="•"/>
      <w:lvlJc w:val="left"/>
      <w:pPr>
        <w:ind w:left="2541" w:hanging="358"/>
      </w:pPr>
      <w:rPr>
        <w:rFonts w:hint="default"/>
        <w:lang w:val="cs-CZ" w:eastAsia="en-US" w:bidi="ar-SA"/>
      </w:rPr>
    </w:lvl>
    <w:lvl w:ilvl="3" w:tplc="72A20EFA">
      <w:numFmt w:val="bullet"/>
      <w:lvlText w:val="•"/>
      <w:lvlJc w:val="left"/>
      <w:pPr>
        <w:ind w:left="3561" w:hanging="358"/>
      </w:pPr>
      <w:rPr>
        <w:rFonts w:hint="default"/>
        <w:lang w:val="cs-CZ" w:eastAsia="en-US" w:bidi="ar-SA"/>
      </w:rPr>
    </w:lvl>
    <w:lvl w:ilvl="4" w:tplc="E232388A">
      <w:numFmt w:val="bullet"/>
      <w:lvlText w:val="•"/>
      <w:lvlJc w:val="left"/>
      <w:pPr>
        <w:ind w:left="4582" w:hanging="358"/>
      </w:pPr>
      <w:rPr>
        <w:rFonts w:hint="default"/>
        <w:lang w:val="cs-CZ" w:eastAsia="en-US" w:bidi="ar-SA"/>
      </w:rPr>
    </w:lvl>
    <w:lvl w:ilvl="5" w:tplc="5DD4F572">
      <w:numFmt w:val="bullet"/>
      <w:lvlText w:val="•"/>
      <w:lvlJc w:val="left"/>
      <w:pPr>
        <w:ind w:left="5603" w:hanging="358"/>
      </w:pPr>
      <w:rPr>
        <w:rFonts w:hint="default"/>
        <w:lang w:val="cs-CZ" w:eastAsia="en-US" w:bidi="ar-SA"/>
      </w:rPr>
    </w:lvl>
    <w:lvl w:ilvl="6" w:tplc="D0B67238">
      <w:numFmt w:val="bullet"/>
      <w:lvlText w:val="•"/>
      <w:lvlJc w:val="left"/>
      <w:pPr>
        <w:ind w:left="6623" w:hanging="358"/>
      </w:pPr>
      <w:rPr>
        <w:rFonts w:hint="default"/>
        <w:lang w:val="cs-CZ" w:eastAsia="en-US" w:bidi="ar-SA"/>
      </w:rPr>
    </w:lvl>
    <w:lvl w:ilvl="7" w:tplc="2AF2DAD8">
      <w:numFmt w:val="bullet"/>
      <w:lvlText w:val="•"/>
      <w:lvlJc w:val="left"/>
      <w:pPr>
        <w:ind w:left="7644" w:hanging="358"/>
      </w:pPr>
      <w:rPr>
        <w:rFonts w:hint="default"/>
        <w:lang w:val="cs-CZ" w:eastAsia="en-US" w:bidi="ar-SA"/>
      </w:rPr>
    </w:lvl>
    <w:lvl w:ilvl="8" w:tplc="1A245678">
      <w:numFmt w:val="bullet"/>
      <w:lvlText w:val="•"/>
      <w:lvlJc w:val="left"/>
      <w:pPr>
        <w:ind w:left="8665" w:hanging="358"/>
      </w:pPr>
      <w:rPr>
        <w:rFonts w:hint="default"/>
        <w:lang w:val="cs-CZ" w:eastAsia="en-US" w:bidi="ar-SA"/>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B9"/>
    <w:rsid w:val="001826B2"/>
    <w:rsid w:val="00342BF0"/>
    <w:rsid w:val="00355111"/>
    <w:rsid w:val="00504719"/>
    <w:rsid w:val="005D0B96"/>
    <w:rsid w:val="00694E4A"/>
    <w:rsid w:val="007166F4"/>
    <w:rsid w:val="007218C9"/>
    <w:rsid w:val="00731772"/>
    <w:rsid w:val="007E2BE5"/>
    <w:rsid w:val="00885256"/>
    <w:rsid w:val="00BC15B9"/>
    <w:rsid w:val="00C365A7"/>
    <w:rsid w:val="00CE10D0"/>
    <w:rsid w:val="00FC46D8"/>
    <w:rsid w:val="00FF7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A913F"/>
  <w15:docId w15:val="{26B6B6C0-A3D6-427F-9970-6FCCA0F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5B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FC46D8"/>
    <w:pPr>
      <w:widowControl w:val="0"/>
      <w:autoSpaceDE w:val="0"/>
      <w:autoSpaceDN w:val="0"/>
      <w:ind w:left="494" w:hanging="359"/>
      <w:jc w:val="both"/>
      <w:outlineLvl w:val="0"/>
    </w:pPr>
    <w:rPr>
      <w:rFonts w:ascii="Calibri" w:eastAsia="Calibri" w:hAnsi="Calibri" w:cs="Calibri"/>
      <w:b/>
      <w:bCs/>
      <w:sz w:val="23"/>
      <w:szCs w:val="23"/>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15B9"/>
    <w:rPr>
      <w:color w:val="0000FF"/>
      <w:u w:val="single"/>
    </w:rPr>
  </w:style>
  <w:style w:type="paragraph" w:styleId="Normlnweb">
    <w:name w:val="Normal (Web)"/>
    <w:basedOn w:val="Normln"/>
    <w:uiPriority w:val="99"/>
    <w:semiHidden/>
    <w:unhideWhenUsed/>
    <w:rsid w:val="00BC15B9"/>
    <w:pPr>
      <w:spacing w:before="100" w:beforeAutospacing="1" w:after="100" w:afterAutospacing="1"/>
    </w:pPr>
  </w:style>
  <w:style w:type="paragraph" w:styleId="Odstavecseseznamem">
    <w:name w:val="List Paragraph"/>
    <w:basedOn w:val="Normln"/>
    <w:uiPriority w:val="1"/>
    <w:qFormat/>
    <w:rsid w:val="00BC15B9"/>
    <w:pPr>
      <w:ind w:left="720"/>
      <w:contextualSpacing/>
    </w:pPr>
  </w:style>
  <w:style w:type="character" w:styleId="Nevyeenzmnka">
    <w:name w:val="Unresolved Mention"/>
    <w:basedOn w:val="Standardnpsmoodstavce"/>
    <w:uiPriority w:val="99"/>
    <w:semiHidden/>
    <w:unhideWhenUsed/>
    <w:rsid w:val="00CE10D0"/>
    <w:rPr>
      <w:color w:val="605E5C"/>
      <w:shd w:val="clear" w:color="auto" w:fill="E1DFDD"/>
    </w:rPr>
  </w:style>
  <w:style w:type="character" w:styleId="Sledovanodkaz">
    <w:name w:val="FollowedHyperlink"/>
    <w:basedOn w:val="Standardnpsmoodstavce"/>
    <w:uiPriority w:val="99"/>
    <w:semiHidden/>
    <w:unhideWhenUsed/>
    <w:rsid w:val="005D0B96"/>
    <w:rPr>
      <w:color w:val="800080" w:themeColor="followedHyperlink"/>
      <w:u w:val="single"/>
    </w:rPr>
  </w:style>
  <w:style w:type="character" w:customStyle="1" w:styleId="Nadpis1Char">
    <w:name w:val="Nadpis 1 Char"/>
    <w:basedOn w:val="Standardnpsmoodstavce"/>
    <w:link w:val="Nadpis1"/>
    <w:uiPriority w:val="9"/>
    <w:rsid w:val="00FC46D8"/>
    <w:rPr>
      <w:rFonts w:ascii="Calibri" w:eastAsia="Calibri" w:hAnsi="Calibri" w:cs="Calibri"/>
      <w:b/>
      <w:bCs/>
      <w:sz w:val="23"/>
      <w:szCs w:val="23"/>
    </w:rPr>
  </w:style>
  <w:style w:type="paragraph" w:styleId="Zkladntext">
    <w:name w:val="Body Text"/>
    <w:basedOn w:val="Normln"/>
    <w:link w:val="ZkladntextChar"/>
    <w:uiPriority w:val="1"/>
    <w:qFormat/>
    <w:rsid w:val="00FC46D8"/>
    <w:pPr>
      <w:widowControl w:val="0"/>
      <w:autoSpaceDE w:val="0"/>
      <w:autoSpaceDN w:val="0"/>
      <w:ind w:left="136"/>
      <w:jc w:val="both"/>
    </w:pPr>
    <w:rPr>
      <w:rFonts w:ascii="Calibri" w:eastAsia="Calibri" w:hAnsi="Calibri" w:cs="Calibri"/>
      <w:sz w:val="23"/>
      <w:szCs w:val="23"/>
      <w:lang w:eastAsia="en-US"/>
    </w:rPr>
  </w:style>
  <w:style w:type="character" w:customStyle="1" w:styleId="ZkladntextChar">
    <w:name w:val="Základní text Char"/>
    <w:basedOn w:val="Standardnpsmoodstavce"/>
    <w:link w:val="Zkladntext"/>
    <w:uiPriority w:val="1"/>
    <w:rsid w:val="00FC46D8"/>
    <w:rPr>
      <w:rFonts w:ascii="Calibri" w:eastAsia="Calibri" w:hAnsi="Calibri" w:cs="Calibri"/>
      <w:sz w:val="23"/>
      <w:szCs w:val="23"/>
    </w:rPr>
  </w:style>
  <w:style w:type="paragraph" w:styleId="Zhlav">
    <w:name w:val="header"/>
    <w:basedOn w:val="Normln"/>
    <w:link w:val="ZhlavChar"/>
    <w:uiPriority w:val="99"/>
    <w:unhideWhenUsed/>
    <w:rsid w:val="00FC46D8"/>
    <w:pPr>
      <w:tabs>
        <w:tab w:val="center" w:pos="4536"/>
        <w:tab w:val="right" w:pos="9072"/>
      </w:tabs>
    </w:pPr>
  </w:style>
  <w:style w:type="character" w:customStyle="1" w:styleId="ZhlavChar">
    <w:name w:val="Záhlaví Char"/>
    <w:basedOn w:val="Standardnpsmoodstavce"/>
    <w:link w:val="Zhlav"/>
    <w:uiPriority w:val="99"/>
    <w:rsid w:val="00FC46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C46D8"/>
    <w:pPr>
      <w:tabs>
        <w:tab w:val="center" w:pos="4536"/>
        <w:tab w:val="right" w:pos="9072"/>
      </w:tabs>
    </w:pPr>
  </w:style>
  <w:style w:type="character" w:customStyle="1" w:styleId="ZpatChar">
    <w:name w:val="Zápatí Char"/>
    <w:basedOn w:val="Standardnpsmoodstavce"/>
    <w:link w:val="Zpat"/>
    <w:uiPriority w:val="99"/>
    <w:rsid w:val="00FC46D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3/zakon-o-zvlastnich-pravidlech-pro-prijimani-k-nekterym" TargetMode="External"/><Relationship Id="rId3" Type="http://schemas.openxmlformats.org/officeDocument/2006/relationships/settings" Target="settings.xml"/><Relationship Id="rId7" Type="http://schemas.openxmlformats.org/officeDocument/2006/relationships/hyperlink" Target="http://www.skola.vysokevesel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1219</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zsvv_21</cp:lastModifiedBy>
  <cp:revision>3</cp:revision>
  <cp:lastPrinted>2020-03-23T10:37:00Z</cp:lastPrinted>
  <dcterms:created xsi:type="dcterms:W3CDTF">2020-04-05T20:44:00Z</dcterms:created>
  <dcterms:modified xsi:type="dcterms:W3CDTF">2020-04-06T08:00:00Z</dcterms:modified>
</cp:coreProperties>
</file>